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240" w:lineRule="auto"/>
        <w:jc w:val="center"/>
      </w:pPr>
      <w:r>
        <w:rPr>
          <w:rFonts w:ascii="TH SarabunPSK" w:hAnsi="TH SarabunPSK"/>
          <w:b/>
          <w:color w:val="000000"/>
          <w:sz w:val="36"/>
          <w:rFonts w:ascii="TH SarabunPSK" w:hAnsi="TH SarabunPSK" w:cs="TH SarabunPSK" w:hint="cs"/>
          <w:bCs/>
        </w:rPr>
        <w:t>แบบทดสอบวัดผลสัมฤทธิ์ทางการเรียนปลายภาคเรียนที่ 1</w:t>
      </w:r>
    </w:p>
    <w:p>
      <w:pPr>
        <w:spacing w:before="0" w:after="0" w:line="240" w:lineRule="auto"/>
        <w:jc w:val="center"/>
      </w:pPr>
      <w:r>
        <w:rPr>
          <w:rFonts w:ascii="TH SarabunPSK" w:hAnsi="TH SarabunPSK"/>
          <w:b/>
          <w:color w:val="000000"/>
          <w:sz w:val="32"/>
          <w:rFonts w:ascii="TH SarabunPSK" w:hAnsi="TH SarabunPSK" w:cs="TH SarabunPSK" w:hint="cs"/>
          <w:bCs/>
        </w:rPr>
        <w:t>กลุ่มสาระการเรียนรู้ภาษาต่างประเทศ  รายวิชาภาษาอังกฤษพื้นฐาน (อ 22101)  ชั้นมัธยมศึกษาปีที่ 2</w:t>
      </w:r>
    </w:p>
    <w:p>
      <w:pPr>
        <w:spacing w:before="0" w:after="0" w:line="240" w:lineRule="auto"/>
        <w:jc w:val="center"/>
      </w:pPr>
      <w:r>
        <w:rPr>
          <w:rFonts w:ascii="TH SarabunPSK" w:hAnsi="TH SarabunPSK"/>
          <w:b/>
          <w:color w:val="000000"/>
          <w:sz w:val="32"/>
          <w:rFonts w:ascii="TH SarabunPSK" w:hAnsi="TH SarabunPSK" w:cs="TH SarabunPSK" w:hint="cs"/>
          <w:bCs/>
        </w:rPr>
        <w:t>จำนวนข้อสอบ 40 ข้อ  คะแนนเต็ม 30 คะแนน  เวลาในการทำแบบทดสอบ 60 นาที</w:t>
      </w:r>
    </w:p>
    <w:p>
      <w:pPr>
        <w:spacing w:before="0" w:after="0" w:line="240" w:lineRule="auto"/>
        <w:jc w:val="center"/>
      </w:pPr>
      <w:r>
        <w:rPr>
          <w:rFonts w:ascii="TH SarabunPSK" w:hAnsi="TH SarabunPSK"/>
          <w:color w:val="000000"/>
          <w:sz w:val="32"/>
          <w:rFonts w:ascii="TH SarabunPSK" w:hAnsi="TH SarabunPSK" w:cs="TH SarabunPSK" w:hint="cs"/>
        </w:rPr>
        <w:t>---------------------------------------------------------------------------------------------------------------------------------</w:t>
      </w:r>
    </w:p>
    <w:p>
      <w:pPr>
        <w:spacing w:before="0" w:after="0" w:line="240" w:lineRule="auto"/>
        <w:jc w:val="left"/>
      </w:pPr>
      <w:r>
        <w:rPr>
          <w:rFonts w:ascii="TH SarabunPSK" w:hAnsi="TH SarabunPSK"/>
          <w:b/>
          <w:color w:val="000000"/>
          <w:sz w:val="32"/>
          <w:rFonts w:ascii="TH SarabunPSK" w:hAnsi="TH SarabunPSK" w:cs="TH SarabunPSK" w:hint="cs"/>
          <w:bCs/>
        </w:rPr>
        <w:t>ตารางวิเคราะห์ข้อสอบ (Test Blueprint)</w:t>
      </w:r>
    </w:p>
    <w:tbl>
      <w:tblPr>
        <w:tblW w:type="auto" w:w="0"/>
        <w:jc w:val="center"/>
        <w:tblLook w:firstColumn="1" w:firstRow="1" w:lastColumn="0" w:lastRow="0" w:noHBand="0" w:noVBand="1" w:val="04A0"/>
      </w:tblPr>
      <w:tblGrid>
        <w:gridCol w:w="1805"/>
        <w:gridCol w:w="1805"/>
        <w:gridCol w:w="1805"/>
        <w:gridCol w:w="1805"/>
        <w:gridCol w:w="1805"/>
      </w:tblGrid>
      <w:tr>
        <w:trPr>
          <w:cantSplit/>
        </w:trPr>
        <w:tc>
          <w:tcPr>
            <w:tcW w:type="dxa" w:w="1805"/>
            <w:shd w:fill="F8FAFC"/>
            <w:vAlign w:val="center"/>
          </w:tcPr>
          <w:p>
            <w:pPr>
              <w:jc w:val="center"/>
            </w:pPr>
            <w:r>
              <w:rPr>
                <w:rFonts w:ascii="TH SarabunPSK" w:hAnsi="TH SarabunPSK"/>
                <w:b/>
                <w:color w:val="000000"/>
                <w:sz w:val="28"/>
                <w:rFonts w:ascii="TH SarabunPSK" w:hAnsi="TH SarabunPSK" w:cs="TH SarabunPSK" w:hint="cs"/>
                <w:bCs/>
              </w:rPr>
              <w:t>มาตรฐาน / ตัวชี้วัด</w:t>
            </w:r>
          </w:p>
        </w:tc>
        <w:tc>
          <w:tcPr>
            <w:tcW w:type="dxa" w:w="1805"/>
            <w:shd w:fill="F8FAFC"/>
            <w:vAlign w:val="center"/>
          </w:tcPr>
          <w:p>
            <w:pPr>
              <w:jc w:val="center"/>
            </w:pPr>
            <w:r>
              <w:rPr>
                <w:rFonts w:ascii="TH SarabunPSK" w:hAnsi="TH SarabunPSK"/>
                <w:b/>
                <w:color w:val="000000"/>
                <w:sz w:val="28"/>
                <w:rFonts w:ascii="TH SarabunPSK" w:hAnsi="TH SarabunPSK" w:cs="TH SarabunPSK" w:hint="cs"/>
                <w:bCs/>
              </w:rPr>
              <w:t>เนื้อหา / ทักษะ</w:t>
            </w:r>
          </w:p>
        </w:tc>
        <w:tc>
          <w:tcPr>
            <w:tcW w:type="dxa" w:w="1805"/>
            <w:shd w:fill="F8FAFC"/>
            <w:vAlign w:val="center"/>
          </w:tcPr>
          <w:p>
            <w:pPr>
              <w:jc w:val="center"/>
            </w:pPr>
            <w:r>
              <w:rPr>
                <w:rFonts w:ascii="TH SarabunPSK" w:hAnsi="TH SarabunPSK"/>
                <w:b/>
                <w:color w:val="000000"/>
                <w:sz w:val="28"/>
                <w:rFonts w:ascii="TH SarabunPSK" w:hAnsi="TH SarabunPSK" w:cs="TH SarabunPSK" w:hint="cs"/>
                <w:bCs/>
              </w:rPr>
              <w:t>ระดับพฤติกรรม</w:t>
            </w:r>
          </w:p>
        </w:tc>
        <w:tc>
          <w:tcPr>
            <w:tcW w:type="dxa" w:w="1805"/>
            <w:shd w:fill="F8FAFC"/>
            <w:vAlign w:val="center"/>
          </w:tcPr>
          <w:p>
            <w:pPr>
              <w:jc w:val="center"/>
            </w:pPr>
            <w:r>
              <w:rPr>
                <w:rFonts w:ascii="TH SarabunPSK" w:hAnsi="TH SarabunPSK"/>
                <w:b/>
                <w:color w:val="000000"/>
                <w:sz w:val="28"/>
                <w:rFonts w:ascii="TH SarabunPSK" w:hAnsi="TH SarabunPSK" w:cs="TH SarabunPSK" w:hint="cs"/>
                <w:bCs/>
              </w:rPr>
              <w:t>จำนวนข้อ</w:t>
            </w:r>
          </w:p>
        </w:tc>
        <w:tc>
          <w:tcPr>
            <w:tcW w:type="dxa" w:w="1805"/>
            <w:shd w:fill="F8FAFC"/>
            <w:vAlign w:val="center"/>
          </w:tcPr>
          <w:p>
            <w:pPr>
              <w:jc w:val="center"/>
            </w:pPr>
            <w:r>
              <w:rPr>
                <w:rFonts w:ascii="TH SarabunPSK" w:hAnsi="TH SarabunPSK"/>
                <w:b/>
                <w:color w:val="000000"/>
                <w:sz w:val="28"/>
                <w:rFonts w:ascii="TH SarabunPSK" w:hAnsi="TH SarabunPSK" w:cs="TH SarabunPSK" w:hint="cs"/>
                <w:bCs/>
              </w:rPr>
              <w:t>ข้อที่</w:t>
            </w:r>
          </w:p>
        </w:tc>
      </w:tr>
      <w:tr>
        <w:trPr>
          <w:cantSplit/>
        </w:trPr>
        <w:tc>
          <w:tcPr>
            <w:tcW w:type="dxa" w:w="1805"/>
            <w:shd w:fill="FFFFFF"/>
            <w:vAlign w:val="center"/>
          </w:tcPr>
          <w:p>
            <w:r>
              <w:rPr>
                <w:rFonts w:ascii="TH SarabunPSK" w:hAnsi="TH SarabunPSK"/>
                <w:color w:val="000000"/>
                <w:sz w:val="26"/>
                <w:rFonts w:ascii="TH SarabunPSK" w:hAnsi="TH SarabunPSK" w:cs="TH SarabunPSK" w:hint="cs"/>
              </w:rPr>
              <w:t>ต 1.1 ม.2/4</w:t>
            </w:r>
          </w:p>
        </w:tc>
        <w:tc>
          <w:tcPr>
            <w:tcW w:type="dxa" w:w="1805"/>
            <w:shd w:fill="FFFFFF"/>
            <w:vAlign w:val="center"/>
          </w:tcPr>
          <w:p>
            <w:r>
              <w:rPr>
                <w:rFonts w:ascii="TH SarabunPSK" w:hAnsi="TH SarabunPSK"/>
                <w:color w:val="000000"/>
                <w:sz w:val="26"/>
                <w:rFonts w:ascii="TH SarabunPSK" w:hAnsi="TH SarabunPSK" w:cs="TH SarabunPSK" w:hint="cs"/>
              </w:rPr>
              <w:t>Reading Comprehension (Passage &amp; Signs)</w:t>
            </w:r>
          </w:p>
        </w:tc>
        <w:tc>
          <w:tcPr>
            <w:tcW w:type="dxa" w:w="1805"/>
            <w:shd w:fill="FFFFFF"/>
            <w:vAlign w:val="center"/>
          </w:tcPr>
          <w:p>
            <w:pPr>
              <w:jc w:val="center"/>
            </w:pPr>
            <w:r>
              <w:rPr>
                <w:rFonts w:ascii="TH SarabunPSK" w:hAnsi="TH SarabunPSK"/>
                <w:color w:val="000000"/>
                <w:sz w:val="26"/>
                <w:rFonts w:ascii="TH SarabunPSK" w:hAnsi="TH SarabunPSK" w:cs="TH SarabunPSK" w:hint="cs"/>
              </w:rPr>
              <w:t>วิเคราะห์ / ตีความ</w:t>
            </w:r>
          </w:p>
        </w:tc>
        <w:tc>
          <w:tcPr>
            <w:tcW w:type="dxa" w:w="1805"/>
            <w:shd w:fill="FFFFFF"/>
            <w:vAlign w:val="center"/>
          </w:tcPr>
          <w:p>
            <w:pPr>
              <w:jc w:val="center"/>
            </w:pPr>
            <w:r>
              <w:rPr>
                <w:rFonts w:ascii="TH SarabunPSK" w:hAnsi="TH SarabunPSK"/>
                <w:color w:val="000000"/>
                <w:sz w:val="26"/>
                <w:rFonts w:ascii="TH SarabunPSK" w:hAnsi="TH SarabunPSK" w:cs="TH SarabunPSK" w:hint="cs"/>
              </w:rPr>
              <w:t>15 ข้อ</w:t>
            </w:r>
          </w:p>
        </w:tc>
        <w:tc>
          <w:tcPr>
            <w:tcW w:type="dxa" w:w="1805"/>
            <w:shd w:fill="FFFFFF"/>
            <w:vAlign w:val="center"/>
          </w:tcPr>
          <w:p>
            <w:pPr>
              <w:jc w:val="center"/>
            </w:pPr>
            <w:r>
              <w:rPr>
                <w:rFonts w:ascii="TH SarabunPSK" w:hAnsi="TH SarabunPSK"/>
                <w:color w:val="000000"/>
                <w:sz w:val="26"/>
                <w:rFonts w:ascii="TH SarabunPSK" w:hAnsi="TH SarabunPSK" w:cs="TH SarabunPSK" w:hint="cs"/>
              </w:rPr>
              <w:t>1 - 15</w:t>
            </w:r>
          </w:p>
        </w:tc>
      </w:tr>
      <w:tr>
        <w:trPr>
          <w:cantSplit/>
        </w:trPr>
        <w:tc>
          <w:tcPr>
            <w:tcW w:type="dxa" w:w="1805"/>
            <w:shd w:fill="FFFFFF"/>
            <w:vAlign w:val="center"/>
          </w:tcPr>
          <w:p>
            <w:r>
              <w:rPr>
                <w:rFonts w:ascii="TH SarabunPSK" w:hAnsi="TH SarabunPSK"/>
                <w:color w:val="000000"/>
                <w:sz w:val="26"/>
                <w:rFonts w:ascii="TH SarabunPSK" w:hAnsi="TH SarabunPSK" w:cs="TH SarabunPSK" w:hint="cs"/>
              </w:rPr>
              <w:t>ต 1.2 ม.2/1</w:t>
            </w:r>
          </w:p>
        </w:tc>
        <w:tc>
          <w:tcPr>
            <w:tcW w:type="dxa" w:w="1805"/>
            <w:shd w:fill="FFFFFF"/>
            <w:vAlign w:val="center"/>
          </w:tcPr>
          <w:p>
            <w:r>
              <w:rPr>
                <w:rFonts w:ascii="TH SarabunPSK" w:hAnsi="TH SarabunPSK"/>
                <w:color w:val="000000"/>
                <w:sz w:val="26"/>
                <w:rFonts w:ascii="TH SarabunPSK" w:hAnsi="TH SarabunPSK" w:cs="TH SarabunPSK" w:hint="cs"/>
              </w:rPr>
              <w:t>Language Functions &amp; Situational Dialogues</w:t>
            </w:r>
          </w:p>
        </w:tc>
        <w:tc>
          <w:tcPr>
            <w:tcW w:type="dxa" w:w="1805"/>
            <w:shd w:fill="FFFFFF"/>
            <w:vAlign w:val="center"/>
          </w:tcPr>
          <w:p>
            <w:pPr>
              <w:jc w:val="center"/>
            </w:pPr>
            <w:r>
              <w:rPr>
                <w:rFonts w:ascii="TH SarabunPSK" w:hAnsi="TH SarabunPSK"/>
                <w:color w:val="000000"/>
                <w:sz w:val="26"/>
                <w:rFonts w:ascii="TH SarabunPSK" w:hAnsi="TH SarabunPSK" w:cs="TH SarabunPSK" w:hint="cs"/>
              </w:rPr>
              <w:t>นำไปใช้ / สื่อสาร</w:t>
            </w:r>
          </w:p>
        </w:tc>
        <w:tc>
          <w:tcPr>
            <w:tcW w:type="dxa" w:w="1805"/>
            <w:shd w:fill="FFFFFF"/>
            <w:vAlign w:val="center"/>
          </w:tcPr>
          <w:p>
            <w:pPr>
              <w:jc w:val="center"/>
            </w:pPr>
            <w:r>
              <w:rPr>
                <w:rFonts w:ascii="TH SarabunPSK" w:hAnsi="TH SarabunPSK"/>
                <w:color w:val="000000"/>
                <w:sz w:val="26"/>
                <w:rFonts w:ascii="TH SarabunPSK" w:hAnsi="TH SarabunPSK" w:cs="TH SarabunPSK" w:hint="cs"/>
              </w:rPr>
              <w:t>15 ข้อ</w:t>
            </w:r>
          </w:p>
        </w:tc>
        <w:tc>
          <w:tcPr>
            <w:tcW w:type="dxa" w:w="1805"/>
            <w:shd w:fill="FFFFFF"/>
            <w:vAlign w:val="center"/>
          </w:tcPr>
          <w:p>
            <w:pPr>
              <w:jc w:val="center"/>
            </w:pPr>
            <w:r>
              <w:rPr>
                <w:rFonts w:ascii="TH SarabunPSK" w:hAnsi="TH SarabunPSK"/>
                <w:color w:val="000000"/>
                <w:sz w:val="26"/>
                <w:rFonts w:ascii="TH SarabunPSK" w:hAnsi="TH SarabunPSK" w:cs="TH SarabunPSK" w:hint="cs"/>
              </w:rPr>
              <w:t>16 - 30</w:t>
            </w:r>
          </w:p>
        </w:tc>
      </w:tr>
      <w:tr>
        <w:trPr>
          <w:cantSplit/>
        </w:trPr>
        <w:tc>
          <w:tcPr>
            <w:tcW w:type="dxa" w:w="1805"/>
            <w:shd w:fill="FFFFFF"/>
            <w:vAlign w:val="center"/>
          </w:tcPr>
          <w:p>
            <w:r>
              <w:rPr>
                <w:rFonts w:ascii="TH SarabunPSK" w:hAnsi="TH SarabunPSK"/>
                <w:color w:val="000000"/>
                <w:sz w:val="26"/>
                <w:rFonts w:ascii="TH SarabunPSK" w:hAnsi="TH SarabunPSK" w:cs="TH SarabunPSK" w:hint="cs"/>
              </w:rPr>
              <w:t>ต 1.3 ม.2/1</w:t>
            </w:r>
          </w:p>
        </w:tc>
        <w:tc>
          <w:tcPr>
            <w:tcW w:type="dxa" w:w="1805"/>
            <w:shd w:fill="FFFFFF"/>
            <w:vAlign w:val="center"/>
          </w:tcPr>
          <w:p>
            <w:r>
              <w:rPr>
                <w:rFonts w:ascii="TH SarabunPSK" w:hAnsi="TH SarabunPSK"/>
                <w:color w:val="000000"/>
                <w:sz w:val="26"/>
                <w:rFonts w:ascii="TH SarabunPSK" w:hAnsi="TH SarabunPSK" w:cs="TH SarabunPSK" w:hint="cs"/>
              </w:rPr>
              <w:t>Grammar &amp; Structure (Tenses &amp; Connectors)</w:t>
            </w:r>
          </w:p>
        </w:tc>
        <w:tc>
          <w:tcPr>
            <w:tcW w:type="dxa" w:w="1805"/>
            <w:shd w:fill="FFFFFF"/>
            <w:vAlign w:val="center"/>
          </w:tcPr>
          <w:p>
            <w:pPr>
              <w:jc w:val="center"/>
            </w:pPr>
            <w:r>
              <w:rPr>
                <w:rFonts w:ascii="TH SarabunPSK" w:hAnsi="TH SarabunPSK"/>
                <w:color w:val="000000"/>
                <w:sz w:val="26"/>
                <w:rFonts w:ascii="TH SarabunPSK" w:hAnsi="TH SarabunPSK" w:cs="TH SarabunPSK" w:hint="cs"/>
              </w:rPr>
              <w:t>ความรู้ / เข้าใจ</w:t>
            </w:r>
          </w:p>
        </w:tc>
        <w:tc>
          <w:tcPr>
            <w:tcW w:type="dxa" w:w="1805"/>
            <w:shd w:fill="FFFFFF"/>
            <w:vAlign w:val="center"/>
          </w:tcPr>
          <w:p>
            <w:pPr>
              <w:jc w:val="center"/>
            </w:pPr>
            <w:r>
              <w:rPr>
                <w:rFonts w:ascii="TH SarabunPSK" w:hAnsi="TH SarabunPSK"/>
                <w:color w:val="000000"/>
                <w:sz w:val="26"/>
                <w:rFonts w:ascii="TH SarabunPSK" w:hAnsi="TH SarabunPSK" w:cs="TH SarabunPSK" w:hint="cs"/>
              </w:rPr>
              <w:t>10 ข้อ</w:t>
            </w:r>
          </w:p>
        </w:tc>
        <w:tc>
          <w:tcPr>
            <w:tcW w:type="dxa" w:w="1805"/>
            <w:shd w:fill="FFFFFF"/>
            <w:vAlign w:val="center"/>
          </w:tcPr>
          <w:p>
            <w:pPr>
              <w:jc w:val="center"/>
            </w:pPr>
            <w:r>
              <w:rPr>
                <w:rFonts w:ascii="TH SarabunPSK" w:hAnsi="TH SarabunPSK"/>
                <w:color w:val="000000"/>
                <w:sz w:val="26"/>
                <w:rFonts w:ascii="TH SarabunPSK" w:hAnsi="TH SarabunPSK" w:cs="TH SarabunPSK" w:hint="cs"/>
              </w:rPr>
              <w:t>31 - 40</w:t>
            </w:r>
          </w:p>
        </w:tc>
      </w:tr>
    </w:tbl>
    <w:p>
      <w:pPr>
        <w:spacing w:before="300" w:after="0" w:line="240" w:lineRule="auto"/>
        <w:jc w:val="left"/>
      </w:pPr>
      <w:r>
        <w:rPr>
          <w:rFonts w:ascii="TH SarabunPSK" w:hAnsi="TH SarabunPSK"/>
          <w:b/>
          <w:color w:val="000000"/>
          <w:sz w:val="32"/>
          <w:rFonts w:ascii="TH SarabunPSK" w:hAnsi="TH SarabunPSK" w:cs="TH SarabunPSK" w:hint="cs"/>
          <w:bCs/>
        </w:rPr>
        <w:t>Part 1: Reading Comprehension (Items 1 - 5)</w:t>
      </w:r>
    </w:p>
    <w:p>
      <w:pPr>
        <w:spacing w:before="0" w:after="0" w:line="240" w:lineRule="auto"/>
        <w:jc w:val="left"/>
      </w:pPr>
      <w:r>
        <w:rPr>
          <w:rFonts w:ascii="TH SarabunPSK" w:hAnsi="TH SarabunPSK"/>
          <w:color w:val="000000"/>
          <w:sz w:val="28"/>
          <w:rFonts w:ascii="TH SarabunPSK" w:hAnsi="TH SarabunPSK" w:cs="TH SarabunPSK" w:hint="cs"/>
        </w:rPr>
        <w:t>Directions: Read the passage carefully and choose the best answer for each question.</w:t>
      </w:r>
    </w:p>
    <w:p>
      <w:pPr>
        <w:spacing w:before="0" w:after="0" w:line="240" w:lineRule="auto"/>
        <w:ind w:firstLine="720"/>
        <w:jc w:val="left"/>
      </w:pPr>
      <w:r>
        <w:rPr>
          <w:rFonts w:ascii="TH SarabunPSK" w:hAnsi="TH SarabunPSK"/>
          <w:color w:val="000000"/>
          <w:sz w:val="28"/>
          <w:rFonts w:ascii="TH SarabunPSK" w:hAnsi="TH SarabunPSK" w:cs="TH SarabunPSK" w:hint="cs"/>
        </w:rPr>
        <w:t>Passage:</w:t>
        <w:br/>
        <w:t>'Artificial Intelligence (AI) is transforming the way students learn in the 21st century. Instead of just memorizing facts, learners can now collaborate with intelligent tutors to solve complex problems, practice languages, and create personalized projects. However, digital ethics and critical thinking remain crucial.'</w:t>
      </w:r>
    </w:p>
    <w:p>
      <w:pPr>
        <w:spacing w:before="160" w:after="0" w:line="240" w:lineRule="auto"/>
        <w:jc w:val="left"/>
      </w:pPr>
      <w:r>
        <w:rPr>
          <w:rFonts w:ascii="TH SarabunPSK" w:hAnsi="TH SarabunPSK"/>
          <w:b/>
          <w:color w:val="000000"/>
          <w:sz w:val="30"/>
          <w:rFonts w:ascii="TH SarabunPSK" w:hAnsi="TH SarabunPSK" w:cs="TH SarabunPSK" w:hint="cs"/>
          <w:bCs/>
        </w:rPr>
        <w:t>1. What is the main idea of the passage?</w:t>
      </w:r>
    </w:p>
    <w:p>
      <w:pPr>
        <w:spacing w:before="0" w:after="0" w:line="240" w:lineRule="auto"/>
        <w:ind w:firstLine="720"/>
        <w:jc w:val="left"/>
      </w:pPr>
      <w:r>
        <w:rPr>
          <w:rFonts w:ascii="TH SarabunPSK" w:hAnsi="TH SarabunPSK"/>
          <w:color w:val="000000"/>
          <w:sz w:val="28"/>
          <w:rFonts w:ascii="TH SarabunPSK" w:hAnsi="TH SarabunPSK" w:cs="TH SarabunPSK" w:hint="cs"/>
        </w:rPr>
        <w:t>A. AI will replace all teachers completely.</w:t>
      </w:r>
    </w:p>
    <w:p>
      <w:pPr>
        <w:spacing w:before="0" w:after="0" w:line="240" w:lineRule="auto"/>
        <w:ind w:firstLine="720"/>
        <w:jc w:val="left"/>
      </w:pPr>
      <w:r>
        <w:rPr>
          <w:rFonts w:ascii="TH SarabunPSK" w:hAnsi="TH SarabunPSK"/>
          <w:color w:val="000000"/>
          <w:sz w:val="28"/>
          <w:rFonts w:ascii="TH SarabunPSK" w:hAnsi="TH SarabunPSK" w:cs="TH SarabunPSK" w:hint="cs"/>
        </w:rPr>
        <w:t>B. AI transforms learning while critical thinking remains important.</w:t>
      </w:r>
    </w:p>
    <w:p>
      <w:pPr>
        <w:spacing w:before="0" w:after="0" w:line="240" w:lineRule="auto"/>
        <w:ind w:firstLine="720"/>
        <w:jc w:val="left"/>
      </w:pPr>
      <w:r>
        <w:rPr>
          <w:rFonts w:ascii="TH SarabunPSK" w:hAnsi="TH SarabunPSK"/>
          <w:color w:val="000000"/>
          <w:sz w:val="28"/>
          <w:rFonts w:ascii="TH SarabunPSK" w:hAnsi="TH SarabunPSK" w:cs="TH SarabunPSK" w:hint="cs"/>
        </w:rPr>
        <w:t>C. Students should only memorize facts from AI.</w:t>
      </w:r>
    </w:p>
    <w:p>
      <w:pPr>
        <w:spacing w:before="0" w:after="0" w:line="240" w:lineRule="auto"/>
        <w:ind w:firstLine="720"/>
        <w:jc w:val="left"/>
      </w:pPr>
      <w:r>
        <w:rPr>
          <w:rFonts w:ascii="TH SarabunPSK" w:hAnsi="TH SarabunPSK"/>
          <w:color w:val="000000"/>
          <w:sz w:val="28"/>
          <w:rFonts w:ascii="TH SarabunPSK" w:hAnsi="TH SarabunPSK" w:cs="TH SarabunPSK" w:hint="cs"/>
        </w:rPr>
        <w:t>D. Language learning is no longer necessary.</w:t>
      </w:r>
    </w:p>
    <w:p>
      <w:pPr>
        <w:spacing w:before="160" w:after="0" w:line="240" w:lineRule="auto"/>
        <w:jc w:val="left"/>
      </w:pPr>
      <w:r>
        <w:rPr>
          <w:rFonts w:ascii="TH SarabunPSK" w:hAnsi="TH SarabunPSK"/>
          <w:b/>
          <w:color w:val="000000"/>
          <w:sz w:val="30"/>
          <w:rFonts w:ascii="TH SarabunPSK" w:hAnsi="TH SarabunPSK" w:cs="TH SarabunPSK" w:hint="cs"/>
          <w:bCs/>
        </w:rPr>
        <w:t>2. According to the text, what can students do with intelligent tutors?</w:t>
      </w:r>
    </w:p>
    <w:p>
      <w:pPr>
        <w:spacing w:before="0" w:after="0" w:line="240" w:lineRule="auto"/>
        <w:ind w:firstLine="720"/>
        <w:jc w:val="left"/>
      </w:pPr>
      <w:r>
        <w:rPr>
          <w:rFonts w:ascii="TH SarabunPSK" w:hAnsi="TH SarabunPSK"/>
          <w:color w:val="000000"/>
          <w:sz w:val="28"/>
          <w:rFonts w:ascii="TH SarabunPSK" w:hAnsi="TH SarabunPSK" w:cs="TH SarabunPSK" w:hint="cs"/>
        </w:rPr>
        <w:t>A. Solve complex problems and practice languages.</w:t>
      </w:r>
    </w:p>
    <w:p>
      <w:pPr>
        <w:spacing w:before="0" w:after="0" w:line="240" w:lineRule="auto"/>
        <w:ind w:firstLine="720"/>
        <w:jc w:val="left"/>
      </w:pPr>
      <w:r>
        <w:rPr>
          <w:rFonts w:ascii="TH SarabunPSK" w:hAnsi="TH SarabunPSK"/>
          <w:color w:val="000000"/>
          <w:sz w:val="28"/>
          <w:rFonts w:ascii="TH SarabunPSK" w:hAnsi="TH SarabunPSK" w:cs="TH SarabunPSK" w:hint="cs"/>
        </w:rPr>
        <w:t>B. Avoid doing school projects.</w:t>
      </w:r>
    </w:p>
    <w:p>
      <w:pPr>
        <w:spacing w:before="0" w:after="0" w:line="240" w:lineRule="auto"/>
        <w:ind w:firstLine="720"/>
        <w:jc w:val="left"/>
      </w:pPr>
      <w:r>
        <w:rPr>
          <w:rFonts w:ascii="TH SarabunPSK" w:hAnsi="TH SarabunPSK"/>
          <w:color w:val="000000"/>
          <w:sz w:val="28"/>
          <w:rFonts w:ascii="TH SarabunPSK" w:hAnsi="TH SarabunPSK" w:cs="TH SarabunPSK" w:hint="cs"/>
        </w:rPr>
        <w:t>C. Stop thinking critically.</w:t>
      </w:r>
    </w:p>
    <w:p>
      <w:pPr>
        <w:spacing w:before="0" w:after="0" w:line="240" w:lineRule="auto"/>
        <w:ind w:firstLine="720"/>
        <w:jc w:val="left"/>
      </w:pPr>
      <w:r>
        <w:rPr>
          <w:rFonts w:ascii="TH SarabunPSK" w:hAnsi="TH SarabunPSK"/>
          <w:color w:val="000000"/>
          <w:sz w:val="28"/>
          <w:rFonts w:ascii="TH SarabunPSK" w:hAnsi="TH SarabunPSK" w:cs="TH SarabunPSK" w:hint="cs"/>
        </w:rPr>
        <w:t>D. Play online games only.</w:t>
      </w:r>
    </w:p>
    <w:p>
      <w:pPr>
        <w:spacing w:before="160" w:after="0" w:line="240" w:lineRule="auto"/>
        <w:jc w:val="left"/>
      </w:pPr>
      <w:r>
        <w:rPr>
          <w:rFonts w:ascii="TH SarabunPSK" w:hAnsi="TH SarabunPSK"/>
          <w:b/>
          <w:color w:val="000000"/>
          <w:sz w:val="30"/>
          <w:rFonts w:ascii="TH SarabunPSK" w:hAnsi="TH SarabunPSK" w:cs="TH SarabunPSK" w:hint="cs"/>
          <w:bCs/>
        </w:rPr>
        <w:t>3. Which tense is used in: 'She has studied English for five years'?</w:t>
      </w:r>
    </w:p>
    <w:p>
      <w:pPr>
        <w:spacing w:before="0" w:after="0" w:line="240" w:lineRule="auto"/>
        <w:ind w:firstLine="720"/>
        <w:jc w:val="left"/>
      </w:pPr>
      <w:r>
        <w:rPr>
          <w:rFonts w:ascii="TH SarabunPSK" w:hAnsi="TH SarabunPSK"/>
          <w:color w:val="000000"/>
          <w:sz w:val="28"/>
          <w:rFonts w:ascii="TH SarabunPSK" w:hAnsi="TH SarabunPSK" w:cs="TH SarabunPSK" w:hint="cs"/>
        </w:rPr>
        <w:t>A. Present Simple</w:t>
      </w:r>
    </w:p>
    <w:p>
      <w:pPr>
        <w:spacing w:before="0" w:after="0" w:line="240" w:lineRule="auto"/>
        <w:ind w:firstLine="720"/>
        <w:jc w:val="left"/>
      </w:pPr>
      <w:r>
        <w:rPr>
          <w:rFonts w:ascii="TH SarabunPSK" w:hAnsi="TH SarabunPSK"/>
          <w:color w:val="000000"/>
          <w:sz w:val="28"/>
          <w:rFonts w:ascii="TH SarabunPSK" w:hAnsi="TH SarabunPSK" w:cs="TH SarabunPSK" w:hint="cs"/>
        </w:rPr>
        <w:t>B. Past Continuous</w:t>
      </w:r>
    </w:p>
    <w:p>
      <w:pPr>
        <w:spacing w:before="0" w:after="0" w:line="240" w:lineRule="auto"/>
        <w:ind w:firstLine="720"/>
        <w:jc w:val="left"/>
      </w:pPr>
      <w:r>
        <w:rPr>
          <w:rFonts w:ascii="TH SarabunPSK" w:hAnsi="TH SarabunPSK"/>
          <w:color w:val="000000"/>
          <w:sz w:val="28"/>
          <w:rFonts w:ascii="TH SarabunPSK" w:hAnsi="TH SarabunPSK" w:cs="TH SarabunPSK" w:hint="cs"/>
        </w:rPr>
        <w:t>C. Present Perfect</w:t>
      </w:r>
    </w:p>
    <w:p>
      <w:pPr>
        <w:spacing w:before="0" w:after="0" w:line="240" w:lineRule="auto"/>
        <w:ind w:firstLine="720"/>
        <w:jc w:val="left"/>
      </w:pPr>
      <w:r>
        <w:rPr>
          <w:rFonts w:ascii="TH SarabunPSK" w:hAnsi="TH SarabunPSK"/>
          <w:color w:val="000000"/>
          <w:sz w:val="28"/>
          <w:rFonts w:ascii="TH SarabunPSK" w:hAnsi="TH SarabunPSK" w:cs="TH SarabunPSK" w:hint="cs"/>
        </w:rPr>
        <w:t>D. Future Simple</w:t>
      </w:r>
    </w:p>
    <w:p>
      <w:pPr>
        <w:spacing w:before="160" w:after="0" w:line="240" w:lineRule="auto"/>
        <w:jc w:val="left"/>
      </w:pPr>
      <w:r>
        <w:rPr>
          <w:rFonts w:ascii="TH SarabunPSK" w:hAnsi="TH SarabunPSK"/>
          <w:b/>
          <w:color w:val="000000"/>
          <w:sz w:val="30"/>
          <w:rFonts w:ascii="TH SarabunPSK" w:hAnsi="TH SarabunPSK" w:cs="TH SarabunPSK" w:hint="cs"/>
          <w:bCs/>
        </w:rPr>
        <w:t>4. Situation: Somchai asks for directions. 'Excuse me, could you tell me where the library is?'</w:t>
        <w:br/>
        <w:t>How should you reply politely?</w:t>
      </w:r>
    </w:p>
    <w:p>
      <w:pPr>
        <w:spacing w:before="0" w:after="0" w:line="240" w:lineRule="auto"/>
        <w:ind w:firstLine="720"/>
        <w:jc w:val="left"/>
      </w:pPr>
      <w:r>
        <w:rPr>
          <w:rFonts w:ascii="TH SarabunPSK" w:hAnsi="TH SarabunPSK"/>
          <w:color w:val="000000"/>
          <w:sz w:val="28"/>
          <w:rFonts w:ascii="TH SarabunPSK" w:hAnsi="TH SarabunPSK" w:cs="TH SarabunPSK" w:hint="cs"/>
        </w:rPr>
        <w:t>A. No, I don't want to.</w:t>
      </w:r>
    </w:p>
    <w:p>
      <w:pPr>
        <w:spacing w:before="0" w:after="0" w:line="240" w:lineRule="auto"/>
        <w:ind w:firstLine="720"/>
        <w:jc w:val="left"/>
      </w:pPr>
      <w:r>
        <w:rPr>
          <w:rFonts w:ascii="TH SarabunPSK" w:hAnsi="TH SarabunPSK"/>
          <w:color w:val="000000"/>
          <w:sz w:val="28"/>
          <w:rFonts w:ascii="TH SarabunPSK" w:hAnsi="TH SarabunPSK" w:cs="TH SarabunPSK" w:hint="cs"/>
        </w:rPr>
        <w:t>B. Walk straight ahead and turn left at the corner.</w:t>
      </w:r>
    </w:p>
    <w:p>
      <w:pPr>
        <w:spacing w:before="0" w:after="0" w:line="240" w:lineRule="auto"/>
        <w:ind w:firstLine="720"/>
        <w:jc w:val="left"/>
      </w:pPr>
      <w:r>
        <w:rPr>
          <w:rFonts w:ascii="TH SarabunPSK" w:hAnsi="TH SarabunPSK"/>
          <w:color w:val="000000"/>
          <w:sz w:val="28"/>
          <w:rFonts w:ascii="TH SarabunPSK" w:hAnsi="TH SarabunPSK" w:cs="TH SarabunPSK" w:hint="cs"/>
        </w:rPr>
        <w:t>C. Why do you ask me?</w:t>
      </w:r>
    </w:p>
    <w:p>
      <w:pPr>
        <w:spacing w:before="0" w:after="0" w:line="240" w:lineRule="auto"/>
        <w:ind w:firstLine="720"/>
        <w:jc w:val="left"/>
      </w:pPr>
      <w:r>
        <w:rPr>
          <w:rFonts w:ascii="TH SarabunPSK" w:hAnsi="TH SarabunPSK"/>
          <w:color w:val="000000"/>
          <w:sz w:val="28"/>
          <w:rFonts w:ascii="TH SarabunPSK" w:hAnsi="TH SarabunPSK" w:cs="TH SarabunPSK" w:hint="cs"/>
        </w:rPr>
        <w:t>D. It is not my business.</w:t>
      </w:r>
    </w:p>
    <w:p>
      <w:pPr>
        <w:spacing w:before="160" w:after="0" w:line="240" w:lineRule="auto"/>
        <w:jc w:val="left"/>
      </w:pPr>
      <w:r>
        <w:rPr>
          <w:rFonts w:ascii="TH SarabunPSK" w:hAnsi="TH SarabunPSK"/>
          <w:b/>
          <w:color w:val="000000"/>
          <w:sz w:val="30"/>
          <w:rFonts w:ascii="TH SarabunPSK" w:hAnsi="TH SarabunPSK" w:cs="TH SarabunPSK" w:hint="cs"/>
          <w:bCs/>
        </w:rPr>
        <w:t>5. 'If it rains tomorrow, we _______ the outdoor sports day.'</w:t>
      </w:r>
    </w:p>
    <w:p>
      <w:pPr>
        <w:spacing w:before="0" w:after="0" w:line="240" w:lineRule="auto"/>
        <w:ind w:firstLine="720"/>
        <w:jc w:val="left"/>
      </w:pPr>
      <w:r>
        <w:rPr>
          <w:rFonts w:ascii="TH SarabunPSK" w:hAnsi="TH SarabunPSK"/>
          <w:color w:val="000000"/>
          <w:sz w:val="28"/>
          <w:rFonts w:ascii="TH SarabunPSK" w:hAnsi="TH SarabunPSK" w:cs="TH SarabunPSK" w:hint="cs"/>
        </w:rPr>
        <w:t>A. cancel</w:t>
      </w:r>
    </w:p>
    <w:p>
      <w:pPr>
        <w:spacing w:before="0" w:after="0" w:line="240" w:lineRule="auto"/>
        <w:ind w:firstLine="720"/>
        <w:jc w:val="left"/>
      </w:pPr>
      <w:r>
        <w:rPr>
          <w:rFonts w:ascii="TH SarabunPSK" w:hAnsi="TH SarabunPSK"/>
          <w:color w:val="000000"/>
          <w:sz w:val="28"/>
          <w:rFonts w:ascii="TH SarabunPSK" w:hAnsi="TH SarabunPSK" w:cs="TH SarabunPSK" w:hint="cs"/>
        </w:rPr>
        <w:t>B. would cancel</w:t>
      </w:r>
    </w:p>
    <w:p>
      <w:pPr>
        <w:spacing w:before="0" w:after="0" w:line="240" w:lineRule="auto"/>
        <w:ind w:firstLine="720"/>
        <w:jc w:val="left"/>
      </w:pPr>
      <w:r>
        <w:rPr>
          <w:rFonts w:ascii="TH SarabunPSK" w:hAnsi="TH SarabunPSK"/>
          <w:color w:val="000000"/>
          <w:sz w:val="28"/>
          <w:rFonts w:ascii="TH SarabunPSK" w:hAnsi="TH SarabunPSK" w:cs="TH SarabunPSK" w:hint="cs"/>
        </w:rPr>
        <w:t>C. will cancel</w:t>
      </w:r>
    </w:p>
    <w:p>
      <w:pPr>
        <w:spacing w:before="0" w:after="0" w:line="240" w:lineRule="auto"/>
        <w:ind w:firstLine="720"/>
        <w:jc w:val="left"/>
      </w:pPr>
      <w:r>
        <w:rPr>
          <w:rFonts w:ascii="TH SarabunPSK" w:hAnsi="TH SarabunPSK"/>
          <w:color w:val="000000"/>
          <w:sz w:val="28"/>
          <w:rFonts w:ascii="TH SarabunPSK" w:hAnsi="TH SarabunPSK" w:cs="TH SarabunPSK" w:hint="cs"/>
        </w:rPr>
        <w:t>D. cancelled</w:t>
      </w:r>
    </w:p>
    <w:p>
      <w:pPr>
        <w:spacing w:before="300" w:after="0" w:line="240" w:lineRule="auto"/>
        <w:jc w:val="left"/>
      </w:pPr>
      <w:r>
        <w:rPr>
          <w:rFonts w:ascii="TH SarabunPSK" w:hAnsi="TH SarabunPSK"/>
          <w:b/>
          <w:color w:val="000000"/>
          <w:sz w:val="32"/>
          <w:rFonts w:ascii="TH SarabunPSK" w:hAnsi="TH SarabunPSK" w:cs="TH SarabunPSK" w:hint="cs"/>
          <w:bCs/>
        </w:rPr>
        <w:t>เฉลยและคำอธิบายละเอียด (Answer Key)</w:t>
      </w:r>
    </w:p>
    <w:p>
      <w:pPr>
        <w:spacing w:before="0" w:after="0" w:line="240" w:lineRule="auto"/>
        <w:ind w:firstLine="720"/>
        <w:jc w:val="left"/>
      </w:pPr>
      <w:r>
        <w:rPr>
          <w:rFonts w:ascii="TH SarabunPSK" w:hAnsi="TH SarabunPSK"/>
          <w:color w:val="000000"/>
          <w:sz w:val="28"/>
          <w:rFonts w:ascii="TH SarabunPSK" w:hAnsi="TH SarabunPSK" w:cs="TH SarabunPSK" w:hint="cs"/>
        </w:rPr>
        <w:t>1. ตอบ B (ใจความสำคัญเน้นการเรียนรู้ร่วมกับ AI และการคิดวิเคราะห์)</w:t>
        <w:br/>
        <w:t>2. ตอบ A (ระบุตรงในเนื้อเรื่องย่อหน้าแรก)</w:t>
        <w:br/>
        <w:t>3. ตอบ C (has + V.3 คือ Present Perfect)</w:t>
        <w:br/>
        <w:t>4. ตอบ B (การบอกทิศทางอย่างสุภาพ)</w:t>
        <w:br/>
        <w:t>5. ตอบ C (First Conditional Sentence: If + Present Simple, will + V.inf)</w:t>
      </w:r>
    </w:p>
    <w:sectPr w:rsidR="00FC693F" w:rsidRPr="0006063C" w:rsidSect="0003461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